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9F47" w14:textId="4E5DE251" w:rsidR="00C80CC0" w:rsidRDefault="00DE381A" w:rsidP="00840A91">
      <w:pPr>
        <w:ind w:left="-142" w:right="-292"/>
      </w:pPr>
      <w:r>
        <w:t xml:space="preserve">Comunicado de prensa n.° 19/2022</w:t>
      </w:r>
      <w:r>
        <w:t xml:space="preserve">                    </w:t>
      </w:r>
    </w:p>
    <w:p w14:paraId="20A0B86A" w14:textId="77777777" w:rsidR="00A94936" w:rsidRPr="00512D81" w:rsidRDefault="00A94936" w:rsidP="00A94936">
      <w:pPr>
        <w:ind w:left="-142" w:right="-292"/>
        <w:rPr>
          <w:sz w:val="10"/>
          <w:szCs w:val="10"/>
        </w:rPr>
      </w:pPr>
    </w:p>
    <w:p w14:paraId="4FE657DD" w14:textId="77777777" w:rsidR="00512D81" w:rsidRDefault="00A94936" w:rsidP="00512D81">
      <w:pPr>
        <w:ind w:left="-142" w:right="-292"/>
        <w:rPr>
          <w:sz w:val="28"/>
          <w:szCs w:val="28"/>
        </w:rPr>
      </w:pPr>
      <w:r>
        <w:rPr>
          <w:b/>
          <w:color w:val="333333"/>
          <w:sz w:val="28"/>
        </w:rPr>
        <w:t xml:space="preserve">Concurso Novedades Técnicas: el corazón de EIMA 2022</w:t>
      </w:r>
    </w:p>
    <w:p w14:paraId="7F5113D0" w14:textId="77777777" w:rsidR="00512D81" w:rsidRPr="00512D81" w:rsidRDefault="00512D81" w:rsidP="00512D81">
      <w:pPr>
        <w:ind w:left="-142" w:right="-292"/>
        <w:jc w:val="both"/>
        <w:rPr>
          <w:sz w:val="10"/>
          <w:szCs w:val="10"/>
        </w:rPr>
      </w:pPr>
    </w:p>
    <w:p w14:paraId="4661E72D" w14:textId="072FF46B" w:rsidR="00A94936" w:rsidRDefault="00A94936" w:rsidP="00840A91">
      <w:pPr>
        <w:ind w:left="-142" w:right="-717"/>
        <w:jc w:val="both"/>
        <w:rPr>
          <w:b/>
          <w:bCs/>
          <w:i/>
          <w:iCs/>
          <w:color w:val="333333"/>
          <w:kern w:val="36"/>
          <w:rFonts w:eastAsia="Times New Roman" w:cs="Times New Roman"/>
        </w:rPr>
      </w:pPr>
      <w:r>
        <w:rPr>
          <w:b/>
          <w:i/>
          <w:color w:val="333333"/>
        </w:rPr>
        <w:t xml:space="preserve">Presentados en primicia, con un prestigioso evento en Palazzo Re Enzo en Bolonia, los modelos ganadores de la edición de este año.</w:t>
      </w:r>
      <w:r>
        <w:rPr>
          <w:b/>
          <w:i/>
          <w:color w:val="333333"/>
        </w:rPr>
        <w:t xml:space="preserve"> </w:t>
      </w:r>
      <w:r>
        <w:rPr>
          <w:b/>
          <w:i/>
          <w:color w:val="333333"/>
        </w:rPr>
        <w:t xml:space="preserve">Son 62 las innovaciones premiadas (25 como «Novedad Técnica» y 37 como «Recomendación»), que serán expuestas en la importante feria de la mecánica agrícola del 9 al 13 de noviembre, en el claustro situado en el centro del recinto de exposiciones.</w:t>
      </w:r>
    </w:p>
    <w:p w14:paraId="069482F9" w14:textId="77777777" w:rsidR="00512D81" w:rsidRPr="00512D81" w:rsidRDefault="00512D81" w:rsidP="00840A91">
      <w:pPr>
        <w:ind w:left="-142" w:right="-717"/>
        <w:jc w:val="both"/>
        <w:rPr>
          <w:sz w:val="10"/>
          <w:szCs w:val="10"/>
        </w:rPr>
      </w:pPr>
    </w:p>
    <w:p w14:paraId="3467B6C0" w14:textId="1DD9426C" w:rsidR="00512D81" w:rsidRDefault="00A94936" w:rsidP="00840A91">
      <w:pPr>
        <w:shd w:val="clear" w:color="auto" w:fill="FFFFFF"/>
        <w:spacing w:line="233" w:lineRule="atLeast"/>
        <w:ind w:left="-142" w:right="-717"/>
        <w:jc w:val="both"/>
        <w:rPr>
          <w:color w:val="333333"/>
          <w:rFonts w:eastAsia="Times New Roman" w:cs="Times New Roman"/>
        </w:rPr>
      </w:pPr>
      <w:r>
        <w:rPr>
          <w:color w:val="333333"/>
        </w:rPr>
        <w:t xml:space="preserve">La 45° edición de EIMA International —la muestra mundial de la mecánica agrícola, que se llevará a cabo en la Feria de Bolonia del 9 al 13 de noviembre próximo— cuenta con un prestigioso avance informativo.</w:t>
      </w:r>
      <w:r>
        <w:rPr>
          <w:color w:val="333333"/>
        </w:rPr>
        <w:t xml:space="preserve"> </w:t>
      </w:r>
      <w:r>
        <w:rPr>
          <w:color w:val="333333"/>
        </w:rPr>
        <w:t xml:space="preserve">Esta tarde, con más de un mes de antelación respecto al inicio de la muestra, se llevará a cabo la premiación del Concurso Novedades Técnicas, es decir, de los modelos que presentan soluciones inéditas de alto contenido tecnológico y que serán expuestos en el claustro ubicado en el centro del recinto de exposiciones boloñés durante los cinco días de la muestra.</w:t>
      </w:r>
      <w:r>
        <w:rPr>
          <w:color w:val="333333"/>
        </w:rPr>
        <w:t xml:space="preserve"> </w:t>
      </w:r>
      <w:r>
        <w:rPr>
          <w:color w:val="333333"/>
        </w:rPr>
        <w:t xml:space="preserve">El jurado internacional de expertos que ha seleccionado y premiado las tecnologías más innovadoras, ha elegido 25 modelos como «Novedad Técnica» absoluta y ha condecorado otros 37 modelos más con el título de «Recomendación».</w:t>
      </w:r>
      <w:r>
        <w:rPr>
          <w:color w:val="333333"/>
        </w:rPr>
        <w:t xml:space="preserve"> </w:t>
      </w:r>
      <w:r>
        <w:rPr>
          <w:color w:val="333333"/>
        </w:rPr>
        <w:t xml:space="preserve">En total, son 62 las soluciones innovadoras, que abarcan todos los segmentos de la vasta oferta mercadológica presente en EIMA —desde los tractores hasta las máquinas de obras, desde las herramientas hasta los componentes y la electrónica especializada—, tanto para la agricultura como para la jardinería y el cuidado de los espacios verdes, y que representan el corazón tecnológico de EIMA 2022.</w:t>
      </w:r>
      <w:r>
        <w:rPr>
          <w:color w:val="333333"/>
        </w:rPr>
        <w:t xml:space="preserve"> </w:t>
      </w:r>
      <w:r>
        <w:rPr>
          <w:color w:val="333333"/>
        </w:rPr>
        <w:t xml:space="preserve">El evento dedicado a las Novedades Técnicas tendrá lugar en el magnífico escenario de Palazzo Re Enzo en Piazza Maggiore, en el centro histórico de Bolonia y prevé la presentación de todos los modelos premiados y la entrega de los reconocimientos directamente a los delegados de los fabricantes ante los representantes de la prensa nacional e internacional, presentes y conectados en tiempo real.</w:t>
      </w:r>
      <w:r>
        <w:rPr>
          <w:color w:val="333333"/>
        </w:rPr>
        <w:t xml:space="preserve"> </w:t>
      </w:r>
      <w:r>
        <w:rPr>
          <w:color w:val="333333"/>
        </w:rPr>
        <w:t xml:space="preserve">«El elevado número de modelos premiados pone en evidencia cómo la industria del sector invierte mucho en las actividades de investigación y desarrollo —destacó el presidente de FederUnacoma, Alessando Malavolti— y cómo es capaz de llevar rápidamente a la producción en serie las soluciones tecnológicas inéditas, a menudo muy avanzadas».</w:t>
      </w:r>
      <w:r>
        <w:rPr>
          <w:color w:val="333333"/>
        </w:rPr>
        <w:t xml:space="preserve"> </w:t>
      </w:r>
      <w:r>
        <w:rPr>
          <w:color w:val="333333"/>
        </w:rPr>
        <w:t xml:space="preserve">«Hoy día las máquinas agrícolas tienen una misión estratégica —añadió Davide Gnesini, Responsable de la Oficina Técnica de FederUnacoma y coordinador del concurso—, que es aquella de conjugar la máxima productividad con la salvaguardia del ambiente y hacer posible la actividad agrícola en cualquier contexto climático, y todo ello precisamente gracias a tecnologías cada vez más actuales y eficaces».</w:t>
      </w:r>
      <w:r>
        <w:rPr>
          <w:color w:val="333333"/>
        </w:rPr>
        <w:t xml:space="preserve"> </w:t>
      </w:r>
      <w:r>
        <w:rPr>
          <w:color w:val="333333"/>
        </w:rPr>
        <w:t xml:space="preserve">«El avance informativo de las Novedades Técnicas ha sido pensado para destacar la importancia del Concurso y de la Muestra y valorar las marcas protagonistas —afirmó Simona Rapastella, Director General FederUnacoma—, pero también para permitir a la prensa la divulgación de las innovaciones con suficiente antelación y para recordar al vasto público de la EIMA que esta muestra ofrece realmente lo mejor a nivel mundial en el sector de la mecánica agrícola».</w:t>
      </w:r>
      <w:r>
        <w:rPr>
          <w:color w:val="333333"/>
        </w:rPr>
        <w:t xml:space="preserve"> </w:t>
      </w:r>
      <w:r>
        <w:rPr>
          <w:color w:val="333333"/>
        </w:rPr>
        <w:t xml:space="preserve">Las Novedades premiadas no agotan el contenido tecnológico de la muestra —aclaran los organizadores— puesto que son muchas las novedades de productos presentadas en EIMA 2022 por los más de 1.500 fabricantes participantes, destacando el gran relieve de los innovadores modelos presentados en el concurso Tractor of The Year y el trabajo en el área dinámica de Green E-motion dedicada a las máquinas para jardinería, que es otra de las grandes novedades de esta edición de EIMA International.</w:t>
      </w:r>
    </w:p>
    <w:p w14:paraId="32D5E388" w14:textId="77777777" w:rsidR="00840A91" w:rsidRPr="00840A91" w:rsidRDefault="00840A91" w:rsidP="00840A91">
      <w:pPr>
        <w:shd w:val="clear" w:color="auto" w:fill="FFFFFF"/>
        <w:spacing w:line="233" w:lineRule="atLeast"/>
        <w:ind w:left="-142" w:right="-717"/>
        <w:jc w:val="both"/>
        <w:rPr>
          <w:rFonts w:eastAsia="Times New Roman" w:cs="Times New Roman"/>
          <w:color w:val="333333"/>
          <w:sz w:val="10"/>
          <w:szCs w:val="10"/>
        </w:rPr>
      </w:pPr>
    </w:p>
    <w:p w14:paraId="79750EC4" w14:textId="5286AF06" w:rsidR="002163DF" w:rsidRDefault="002163DF" w:rsidP="00A94936">
      <w:pPr>
        <w:shd w:val="clear" w:color="auto" w:fill="FFFFFF"/>
        <w:spacing w:line="233" w:lineRule="atLeast"/>
        <w:ind w:left="-142"/>
        <w:jc w:val="both"/>
        <w:rPr>
          <w:b/>
          <w:bCs/>
          <w:color w:val="333333"/>
          <w:rFonts w:eastAsia="Times New Roman" w:cs="Times New Roman"/>
        </w:rPr>
      </w:pPr>
      <w:r>
        <w:rPr>
          <w:b/>
          <w:color w:val="333333"/>
        </w:rPr>
        <w:t xml:space="preserve">Bolonia, 5 de octubre de 2022</w:t>
      </w:r>
    </w:p>
    <w:p w14:paraId="13F5521F" w14:textId="77777777" w:rsidR="00840A91" w:rsidRDefault="00840A91" w:rsidP="00A94936">
      <w:pPr>
        <w:shd w:val="clear" w:color="auto" w:fill="FFFFFF"/>
        <w:spacing w:line="233" w:lineRule="atLeast"/>
        <w:ind w:left="-142"/>
        <w:jc w:val="both"/>
        <w:rPr>
          <w:rFonts w:eastAsia="Times New Roman" w:cs="Times New Roman"/>
          <w:b/>
          <w:bCs/>
          <w:color w:val="333333"/>
        </w:rPr>
      </w:pPr>
    </w:p>
    <w:p w14:paraId="1C953BBC" w14:textId="455C3A0A" w:rsidR="00C80CC0" w:rsidRPr="00840A91" w:rsidRDefault="00840A91" w:rsidP="00703CE3">
      <w:pPr>
        <w:shd w:val="clear" w:color="auto" w:fill="FFFFFF"/>
        <w:spacing w:line="233" w:lineRule="atLeast"/>
        <w:ind w:left="-142"/>
        <w:jc w:val="right"/>
        <w:rPr>
          <w:b/>
          <w:bCs/>
          <w:color w:val="333333"/>
          <w:rFonts w:ascii="Calibri" w:eastAsia="Times New Roman" w:hAnsi="Calibri" w:cs="Calibri"/>
        </w:rPr>
      </w:pPr>
      <w:r>
        <w:drawing>
          <wp:inline distT="0" distB="0" distL="0" distR="0" wp14:anchorId="5B4E77D6" wp14:editId="6C584453">
            <wp:extent cx="380560" cy="380560"/>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12" cy="392112"/>
                    </a:xfrm>
                    <a:prstGeom prst="rect">
                      <a:avLst/>
                    </a:prstGeom>
                    <a:noFill/>
                    <a:ln>
                      <a:noFill/>
                    </a:ln>
                  </pic:spPr>
                </pic:pic>
              </a:graphicData>
            </a:graphic>
          </wp:inline>
        </w:drawing>
      </w:r>
      <w:r>
        <w:rPr>
          <w:b/>
        </w:rPr>
        <w:t xml:space="preserve">Novedades Técnicas</w:t>
      </w:r>
      <w:r>
        <w:t xml:space="preserve"> </w:t>
      </w:r>
      <w:r>
        <w:drawing>
          <wp:inline distT="0" distB="0" distL="0" distR="0" wp14:anchorId="11422076" wp14:editId="30E40F88">
            <wp:extent cx="406988" cy="40698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13757" cy="413757"/>
                    </a:xfrm>
                    <a:prstGeom prst="rect">
                      <a:avLst/>
                    </a:prstGeom>
                    <a:noFill/>
                    <a:ln>
                      <a:noFill/>
                    </a:ln>
                  </pic:spPr>
                </pic:pic>
              </a:graphicData>
            </a:graphic>
          </wp:inline>
        </w:drawing>
      </w:r>
      <w:r>
        <w:t xml:space="preserve"> </w:t>
      </w:r>
      <w:r>
        <w:rPr>
          <w:b/>
        </w:rPr>
        <w:t xml:space="preserve">Recomendaciones</w:t>
      </w:r>
    </w:p>
    <w:sectPr w:rsidR="00C80CC0" w:rsidRPr="00840A91" w:rsidSect="00D406B4">
      <w:headerReference w:type="default" r:id="rId9"/>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460F" w14:textId="77777777" w:rsidR="0065522C" w:rsidRDefault="0065522C">
      <w:r>
        <w:separator/>
      </w:r>
    </w:p>
  </w:endnote>
  <w:endnote w:type="continuationSeparator" w:id="0">
    <w:p w14:paraId="1EAA0728" w14:textId="77777777" w:rsidR="0065522C" w:rsidRDefault="006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11AD" w14:textId="77777777" w:rsidR="0065522C" w:rsidRDefault="0065522C">
      <w:r>
        <w:separator/>
      </w:r>
    </w:p>
  </w:footnote>
  <w:footnote w:type="continuationSeparator" w:id="0">
    <w:p w14:paraId="325B0685" w14:textId="77777777" w:rsidR="0065522C" w:rsidRDefault="0065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rPr>
                                  <w:fldChar w:fldCharType="begin"/>
                                </w:r>
                                <w:r>
                                  <w:instrText>PAGE    \* MERGEFORMAT</w:instrText>
                                </w:r>
                                <w:r>
                                  <w:rPr>
                                    <w:color w:val="auto"/>
                                    <w:sz w:val="22"/>
                                  </w:rPr>
                                  <w:fldChar w:fldCharType="separate"/>
                                </w:r>
                                <w:r w:rsidR="00A15BDD" w:rsidRPr="00A15BDD">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rPr>
                            <w:fldChar w:fldCharType="begin"/>
                          </w:r>
                          <w:r>
                            <w:instrText>PAGE    \* MERGEFORMAT</w:instrText>
                          </w:r>
                          <w:r>
                            <w:rPr>
                              <w:color w:val="auto"/>
                              <w:sz w:val="22"/>
                            </w:rPr>
                            <w:fldChar w:fldCharType="separate"/>
                          </w:r>
                          <w:r w:rsidR="00A15BDD" w:rsidRPr="00A15BDD">
                            <w:rPr>
                              <w:rStyle w:val="Numeropagina"/>
                              <w:b/>
                              <w:color w:val="3F3151" w:themeColor="accent4" w:themeShade="7F"/>
                              <w:sz w:val="16"/>
                            </w:rPr>
                            <w:t>2</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dirty" w:grammar="dirty"/>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F68D0"/>
    <w:rsid w:val="003F799E"/>
    <w:rsid w:val="0040480C"/>
    <w:rsid w:val="00406182"/>
    <w:rsid w:val="00412B9F"/>
    <w:rsid w:val="0041573C"/>
    <w:rsid w:val="00425BB9"/>
    <w:rsid w:val="00430FFB"/>
    <w:rsid w:val="004330CB"/>
    <w:rsid w:val="00445090"/>
    <w:rsid w:val="00445AE9"/>
    <w:rsid w:val="00451ACA"/>
    <w:rsid w:val="0045554A"/>
    <w:rsid w:val="00473436"/>
    <w:rsid w:val="004770F1"/>
    <w:rsid w:val="00477EB0"/>
    <w:rsid w:val="00486E84"/>
    <w:rsid w:val="004A116C"/>
    <w:rsid w:val="004A3C40"/>
    <w:rsid w:val="004B0C24"/>
    <w:rsid w:val="004B1382"/>
    <w:rsid w:val="004B1A0F"/>
    <w:rsid w:val="004E7D68"/>
    <w:rsid w:val="004F1E95"/>
    <w:rsid w:val="004F7D4D"/>
    <w:rsid w:val="0050493A"/>
    <w:rsid w:val="0050717F"/>
    <w:rsid w:val="005115F4"/>
    <w:rsid w:val="00512D81"/>
    <w:rsid w:val="00516293"/>
    <w:rsid w:val="0051665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5F0157"/>
    <w:rsid w:val="006063EA"/>
    <w:rsid w:val="006121B5"/>
    <w:rsid w:val="00622248"/>
    <w:rsid w:val="0062254E"/>
    <w:rsid w:val="006235D9"/>
    <w:rsid w:val="00626EBC"/>
    <w:rsid w:val="006362CB"/>
    <w:rsid w:val="00643058"/>
    <w:rsid w:val="00654CC0"/>
    <w:rsid w:val="0065522C"/>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0A91"/>
    <w:rsid w:val="00846472"/>
    <w:rsid w:val="00851134"/>
    <w:rsid w:val="008553FB"/>
    <w:rsid w:val="00855B87"/>
    <w:rsid w:val="00892EB6"/>
    <w:rsid w:val="00893AAD"/>
    <w:rsid w:val="00895ECB"/>
    <w:rsid w:val="00896574"/>
    <w:rsid w:val="008A05DC"/>
    <w:rsid w:val="008A094D"/>
    <w:rsid w:val="008A192E"/>
    <w:rsid w:val="008A2E06"/>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0CC0"/>
    <w:rsid w:val="00C83B9F"/>
    <w:rsid w:val="00C871ED"/>
    <w:rsid w:val="00C903D4"/>
    <w:rsid w:val="00C90E52"/>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s-E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es-ES"/>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s-E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s-E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es-ES"/>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13</cp:revision>
  <cp:lastPrinted>2020-11-02T16:06:00Z</cp:lastPrinted>
  <dcterms:created xsi:type="dcterms:W3CDTF">2022-10-03T08:29:00Z</dcterms:created>
  <dcterms:modified xsi:type="dcterms:W3CDTF">2022-10-03T09:46:00Z</dcterms:modified>
</cp:coreProperties>
</file>